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130E99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1A4641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1A4641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21B9ED09" w:rsidR="006604E6" w:rsidRDefault="008C4751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World Languages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768276E8" w:rsidR="006604E6" w:rsidRDefault="008C4751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PreK-12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21235025" w:rsidR="006604E6" w:rsidRDefault="001A464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</w:t>
      </w:r>
      <w:r w:rsidR="008C4751">
        <w:rPr>
          <w:rFonts w:ascii="Open Sans Light" w:eastAsia="Open Sans Light" w:hAnsi="Open Sans Light" w:cs="Open Sans Light"/>
          <w:sz w:val="22"/>
          <w:szCs w:val="22"/>
        </w:rPr>
        <w:t>PreK-12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1A464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A23E6A4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44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6E53DA26" w14:textId="77777777" w:rsidR="001A4641" w:rsidRDefault="001A4641" w:rsidP="001A464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21E4C2F7" w14:textId="77777777" w:rsidR="001A4641" w:rsidRDefault="001A4641" w:rsidP="001A464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60184B94" w14:textId="77777777" w:rsidR="001A4641" w:rsidRDefault="001A4641" w:rsidP="001A4641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1F186268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0583EA01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0B4E103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1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2628EFDB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0B866E24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3F3C1CCA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002956B1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4CEF6797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765FAE7" w14:textId="77777777" w:rsidR="001A4641" w:rsidRDefault="001A4641" w:rsidP="001A4641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3E573920" w14:textId="77777777" w:rsidR="001A4641" w:rsidRPr="001339EC" w:rsidRDefault="001A4641" w:rsidP="001A4641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2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bookmarkEnd w:id="2"/>
    <w:p w14:paraId="00000025" w14:textId="697E3946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00000028" w14:textId="2A683242" w:rsidR="006604E6" w:rsidRDefault="00565D68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10890EC6" w:rsidR="006604E6" w:rsidRDefault="008C4751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World Languages PreK-12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6B244E69" w14:textId="77777777" w:rsid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Language Proficiency: </w:t>
            </w:r>
          </w:p>
          <w:p w14:paraId="4AB48A76" w14:textId="65A44CD4" w:rsidR="008C4751" w:rsidRP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Interpersonal, Interpretive, and Presentational</w:t>
            </w:r>
          </w:p>
          <w:p w14:paraId="00000047" w14:textId="0B30AE88" w:rsidR="001548B9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in world language teacher preparation programs possess proficiency in the target languages they will teach. They possess receptive and productive skills in the target language at a minimum proficiency level that equates to Advanced-Low on the ACTFL rating scale or 3+ on the ASLPI rating scale.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57F66E10" w14:textId="23E952E0" w:rsidR="008C4751" w:rsidRP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2: Cultures, Linguistics, Literatures, and Interdisciplinary Concepts</w:t>
            </w:r>
          </w:p>
          <w:p w14:paraId="00000049" w14:textId="586BD866" w:rsidR="001548B9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select and make accessible authentic and relevant products, practices, and perspectives from the target culture appropriate to the developmental needs and interests of learners.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1A0CDEB7" w14:textId="77777777" w:rsidR="008C4751" w:rsidRP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3: Language Acquisition Theories and Instructional Methods for Second Language Learning</w:t>
            </w:r>
          </w:p>
          <w:p w14:paraId="0000004B" w14:textId="7AC8E3B3" w:rsidR="001548B9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demonstrate an understanding of the principles of language acquisition at different stages of learner development and use this knowledge to create linguistically and developmentally appropriate learning experiences.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6C8A7787" w14:textId="77777777" w:rsidR="008C4751" w:rsidRP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4: Planning and Instruction</w:t>
            </w:r>
          </w:p>
          <w:p w14:paraId="0000004D" w14:textId="17185A60" w:rsidR="006604E6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Candidates plan, sequence, and apply a variety of appropriate instructional strategies to develop learners’ knowledge and skills towards meeting the Kansas World Language Standards.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26619CCC" w14:textId="77777777" w:rsidR="008C4751" w:rsidRP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5: Assessment of Learning</w:t>
            </w:r>
          </w:p>
          <w:p w14:paraId="0000004F" w14:textId="09C9175A" w:rsidR="006604E6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design formative and summative assessments using authentic sources, real-world tasks, and a variety of modes to evaluate learning. Candidates reflect on results of assessments to adjust instruction and communicate results to learners for goal setting.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22F36662" w14:textId="77777777" w:rsidR="008C4751" w:rsidRPr="008C4751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6: Learner Development and Diverse Needs</w:t>
            </w:r>
          </w:p>
          <w:p w14:paraId="00000051" w14:textId="6EAB86BB" w:rsidR="006604E6" w:rsidRDefault="008C4751" w:rsidP="008C4751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understand patterns of child and adolescent development, recognize individual differences in learners’ learning profiles, and provide world language learning opportunities that address the diverse needs of learners.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0E92C716" w14:textId="77777777" w:rsidR="00FC1E2D" w:rsidRPr="00FC1E2D" w:rsidRDefault="00FC1E2D" w:rsidP="00FC1E2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C1E2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7: Creating a Supportive Learning Environment</w:t>
            </w:r>
          </w:p>
          <w:p w14:paraId="00000053" w14:textId="2FEC5D34" w:rsidR="006604E6" w:rsidRDefault="00FC1E2D" w:rsidP="00FC1E2D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FC1E2D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Candidates create a safe and supportive learning environment that fosters active learning and positive social interaction.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1A464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66A6285A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Language Proficiency: </w:t>
            </w:r>
          </w:p>
          <w:p w14:paraId="0F66F384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Interpersonal, Interpretive, and Presentational</w:t>
            </w:r>
          </w:p>
          <w:p w14:paraId="00000070" w14:textId="7B98DB3A" w:rsidR="006604E6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in world language teacher preparation programs possess proficiency in the target languages they will teach. They possess receptive and productive skills in the target language at a minimum proficiency level that equates to Advanced-Low on the ACTFL rating scale or 3+ on the ASLPI rating scale.</w:t>
            </w:r>
          </w:p>
          <w:p w14:paraId="736D551F" w14:textId="77777777" w:rsidR="008C4751" w:rsidRPr="007F1B6D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1A4641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7128F130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2: Cultures, Linguistics, Literatures, and Interdisciplinary Concepts</w:t>
            </w:r>
          </w:p>
          <w:p w14:paraId="0000007B" w14:textId="4AB9C409" w:rsidR="006604E6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select and make accessible authentic and relevant products, practices, and perspectives from the target culture appropriate to the developmental needs and interests of learners.</w:t>
            </w:r>
          </w:p>
          <w:p w14:paraId="1796F7A4" w14:textId="77777777" w:rsidR="008C4751" w:rsidRPr="007F1B6D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1A4641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32BD0B00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3: Language Acquisition Theories and Instructional Methods for Second Language Learning</w:t>
            </w:r>
          </w:p>
          <w:p w14:paraId="06FA4A83" w14:textId="195BCF8D" w:rsidR="00840183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demonstrate an understanding of the principles of language acquisition at different stages of learner development and use this knowledge to create linguistically and developmentally appropriate learning experiences.</w:t>
            </w:r>
          </w:p>
          <w:p w14:paraId="1F563E3E" w14:textId="77777777" w:rsidR="008C4751" w:rsidRPr="007F1B6D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2B65990D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4: Planning and Instruction</w:t>
            </w:r>
          </w:p>
          <w:p w14:paraId="230A3C42" w14:textId="73AD4875" w:rsidR="00840183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plan, sequence, and apply a variety of appropriate instructional strategies to develop learners’ knowledge and skills towards meeting the Kansas World Language Standards.</w:t>
            </w:r>
          </w:p>
          <w:p w14:paraId="7648E5A3" w14:textId="77777777" w:rsidR="008C4751" w:rsidRPr="007F1B6D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1A4641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9521407" w14:textId="77777777" w:rsidR="00840183" w:rsidRDefault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38A40AC6" w14:textId="77777777" w:rsidTr="003C07CA">
        <w:tc>
          <w:tcPr>
            <w:tcW w:w="9360" w:type="dxa"/>
          </w:tcPr>
          <w:p w14:paraId="26A94670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5: Assessment of Learning</w:t>
            </w:r>
          </w:p>
          <w:p w14:paraId="58707563" w14:textId="47000E5A" w:rsidR="005C3B08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design formative and summative assessments using authentic sources, real-world tasks, and a variety of modes to evaluate learning. Candidates reflect on results of assessments to adjust instruction and communicate results to learners for goal setting.</w:t>
            </w:r>
          </w:p>
          <w:p w14:paraId="1AD4330B" w14:textId="77777777" w:rsidR="008C4751" w:rsidRPr="007F1B6D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D5438F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1A7269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83E2599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3525FD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8FF38B9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240B84BE" w14:textId="77777777" w:rsidTr="003C07CA">
        <w:tc>
          <w:tcPr>
            <w:tcW w:w="9360" w:type="dxa"/>
          </w:tcPr>
          <w:p w14:paraId="37AF0BE8" w14:textId="77777777" w:rsidR="008C4751" w:rsidRPr="008C4751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lastRenderedPageBreak/>
              <w:t>Standard 6: Learner Development and Diverse Needs</w:t>
            </w:r>
          </w:p>
          <w:p w14:paraId="6FFAA3D4" w14:textId="5168A79C" w:rsidR="005C3B08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4751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understand patterns of child and adolescent development, recognize individual differences in learners’ learning profiles, and provide world language learning opportunities that address the diverse needs of learners.</w:t>
            </w:r>
          </w:p>
          <w:p w14:paraId="209AB5E9" w14:textId="77777777" w:rsidR="008C4751" w:rsidRPr="007F1B6D" w:rsidRDefault="008C4751" w:rsidP="008C4751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D6BDE1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E343615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8F040F1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F8482C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6F5AC08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4530B37B" w14:textId="77777777" w:rsidTr="003C07CA">
        <w:tc>
          <w:tcPr>
            <w:tcW w:w="9360" w:type="dxa"/>
          </w:tcPr>
          <w:p w14:paraId="1DBECD61" w14:textId="77777777" w:rsidR="00FC1E2D" w:rsidRPr="00FC1E2D" w:rsidRDefault="00FC1E2D" w:rsidP="00FC1E2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FC1E2D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7: Creating a Supportive Learning Environment</w:t>
            </w:r>
          </w:p>
          <w:p w14:paraId="6F7E9DF8" w14:textId="3BD9BC7F" w:rsidR="005C3B08" w:rsidRDefault="00FC1E2D" w:rsidP="00FC1E2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FC1E2D">
              <w:rPr>
                <w:rFonts w:ascii="Open Sans Light" w:eastAsia="Open Sans Light" w:hAnsi="Open Sans Light" w:cs="Open Sans Light"/>
                <w:sz w:val="22"/>
                <w:szCs w:val="22"/>
              </w:rPr>
              <w:t>Candidates create a safe and supportive learning environment that fosters active learning and positive social interaction.</w:t>
            </w:r>
          </w:p>
          <w:p w14:paraId="3159C3B3" w14:textId="77777777" w:rsidR="00FC1E2D" w:rsidRPr="007F1B6D" w:rsidRDefault="00FC1E2D" w:rsidP="00FC1E2D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77F35FE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64737B4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8624D46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E3B5D3B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2970E017" w:rsidR="006604E6" w:rsidRDefault="008C47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World Languages</w:t>
    </w:r>
    <w:r w:rsidR="004440E7">
      <w:rPr>
        <w:b/>
        <w:color w:val="000000"/>
      </w:rPr>
      <w:t xml:space="preserve">, </w:t>
    </w:r>
    <w:r>
      <w:rPr>
        <w:b/>
        <w:color w:val="000000"/>
      </w:rPr>
      <w:t>2024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702FE"/>
    <w:rsid w:val="001A4641"/>
    <w:rsid w:val="001C5078"/>
    <w:rsid w:val="003470D2"/>
    <w:rsid w:val="00442E2F"/>
    <w:rsid w:val="004440E7"/>
    <w:rsid w:val="004944DB"/>
    <w:rsid w:val="00565D68"/>
    <w:rsid w:val="005C3B08"/>
    <w:rsid w:val="006604E6"/>
    <w:rsid w:val="007F1B6D"/>
    <w:rsid w:val="00820AB3"/>
    <w:rsid w:val="00840183"/>
    <w:rsid w:val="008C4751"/>
    <w:rsid w:val="00906C59"/>
    <w:rsid w:val="009767DE"/>
    <w:rsid w:val="00AA1246"/>
    <w:rsid w:val="00BC5058"/>
    <w:rsid w:val="00BD7C64"/>
    <w:rsid w:val="00BE3BE0"/>
    <w:rsid w:val="00C321D9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  <w:rsid w:val="00FC1E2D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2025-09-25T21:09:00Z</dcterms:created>
  <dcterms:modified xsi:type="dcterms:W3CDTF">2025-09-25T21:09:00Z</dcterms:modified>
</cp:coreProperties>
</file>